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E98" w:rsidRPr="00653185" w:rsidRDefault="00860E98" w:rsidP="00860E98">
      <w:pPr>
        <w:pStyle w:val="2"/>
        <w:tabs>
          <w:tab w:val="num" w:pos="0"/>
        </w:tabs>
        <w:rPr>
          <w:rFonts w:ascii="Arial" w:hAnsi="Arial" w:cs="Arial"/>
          <w:b/>
          <w:sz w:val="32"/>
          <w:szCs w:val="32"/>
        </w:rPr>
      </w:pPr>
      <w:r w:rsidRPr="00653185">
        <w:rPr>
          <w:rFonts w:ascii="Arial" w:hAnsi="Arial" w:cs="Arial"/>
          <w:b/>
          <w:sz w:val="32"/>
          <w:szCs w:val="32"/>
        </w:rPr>
        <w:t>АДМИНИСТРАЦИЯ</w:t>
      </w:r>
    </w:p>
    <w:p w:rsidR="00653185" w:rsidRDefault="00860E98" w:rsidP="00860E98">
      <w:pPr>
        <w:pStyle w:val="2"/>
        <w:tabs>
          <w:tab w:val="num" w:pos="0"/>
        </w:tabs>
        <w:rPr>
          <w:rFonts w:ascii="Arial" w:hAnsi="Arial" w:cs="Arial"/>
          <w:b/>
          <w:sz w:val="32"/>
          <w:szCs w:val="32"/>
        </w:rPr>
      </w:pPr>
      <w:r w:rsidRPr="00653185">
        <w:rPr>
          <w:rFonts w:ascii="Arial" w:hAnsi="Arial" w:cs="Arial"/>
          <w:b/>
          <w:sz w:val="32"/>
          <w:szCs w:val="32"/>
        </w:rPr>
        <w:t>ИВАНОВСКОГО СЕЛЬСОВЕТА</w:t>
      </w:r>
    </w:p>
    <w:p w:rsidR="00860E98" w:rsidRPr="00653185" w:rsidRDefault="00860E98" w:rsidP="00860E98">
      <w:pPr>
        <w:pStyle w:val="2"/>
        <w:tabs>
          <w:tab w:val="num" w:pos="0"/>
        </w:tabs>
        <w:rPr>
          <w:rFonts w:ascii="Arial" w:hAnsi="Arial" w:cs="Arial"/>
          <w:b/>
          <w:sz w:val="32"/>
          <w:szCs w:val="32"/>
        </w:rPr>
      </w:pPr>
      <w:r w:rsidRPr="00653185">
        <w:rPr>
          <w:rFonts w:ascii="Arial" w:hAnsi="Arial" w:cs="Arial"/>
          <w:b/>
          <w:sz w:val="32"/>
          <w:szCs w:val="32"/>
        </w:rPr>
        <w:t xml:space="preserve"> РЫЛЬСКОГО РАЙОНА</w:t>
      </w:r>
    </w:p>
    <w:p w:rsidR="00860E98" w:rsidRPr="00653185" w:rsidRDefault="00860E98" w:rsidP="00860E98">
      <w:pPr>
        <w:rPr>
          <w:rFonts w:ascii="Arial" w:hAnsi="Arial" w:cs="Arial"/>
          <w:b/>
          <w:sz w:val="32"/>
          <w:szCs w:val="32"/>
        </w:rPr>
      </w:pPr>
    </w:p>
    <w:p w:rsidR="00860E98" w:rsidRPr="00653185" w:rsidRDefault="00860E98" w:rsidP="00860E98">
      <w:pPr>
        <w:jc w:val="center"/>
        <w:rPr>
          <w:rFonts w:ascii="Arial" w:hAnsi="Arial" w:cs="Arial"/>
          <w:b/>
          <w:sz w:val="32"/>
          <w:szCs w:val="32"/>
        </w:rPr>
      </w:pPr>
      <w:r w:rsidRPr="00653185">
        <w:rPr>
          <w:rFonts w:ascii="Arial" w:hAnsi="Arial" w:cs="Arial"/>
          <w:b/>
          <w:sz w:val="32"/>
          <w:szCs w:val="32"/>
        </w:rPr>
        <w:t>ПОСТАНОВЛЕНИЕ</w:t>
      </w:r>
    </w:p>
    <w:p w:rsidR="00C73540" w:rsidRDefault="00653185" w:rsidP="00860E9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C73540" w:rsidRPr="00653185">
        <w:rPr>
          <w:rFonts w:ascii="Arial" w:hAnsi="Arial" w:cs="Arial"/>
          <w:b/>
          <w:sz w:val="32"/>
          <w:szCs w:val="32"/>
        </w:rPr>
        <w:t xml:space="preserve">т </w:t>
      </w:r>
      <w:r w:rsidR="00DD3F47">
        <w:rPr>
          <w:rFonts w:ascii="Arial" w:hAnsi="Arial" w:cs="Arial"/>
          <w:b/>
          <w:sz w:val="32"/>
          <w:szCs w:val="32"/>
        </w:rPr>
        <w:t>15 сентября 2017 года №174</w:t>
      </w:r>
    </w:p>
    <w:p w:rsidR="00653185" w:rsidRPr="00653185" w:rsidRDefault="00653185" w:rsidP="00860E98">
      <w:pPr>
        <w:jc w:val="center"/>
        <w:rPr>
          <w:rFonts w:ascii="Arial" w:hAnsi="Arial" w:cs="Arial"/>
          <w:b/>
          <w:sz w:val="32"/>
          <w:szCs w:val="32"/>
        </w:rPr>
      </w:pPr>
    </w:p>
    <w:p w:rsidR="00C73540" w:rsidRPr="002009AD" w:rsidRDefault="00C73540" w:rsidP="00860E98">
      <w:pPr>
        <w:jc w:val="center"/>
        <w:rPr>
          <w:rFonts w:ascii="Arial" w:hAnsi="Arial" w:cs="Arial"/>
          <w:b/>
          <w:sz w:val="28"/>
        </w:rPr>
      </w:pPr>
      <w:r w:rsidRPr="002009AD">
        <w:rPr>
          <w:rFonts w:ascii="Arial" w:hAnsi="Arial" w:cs="Arial"/>
          <w:b/>
          <w:sz w:val="28"/>
        </w:rPr>
        <w:t xml:space="preserve"> </w:t>
      </w:r>
      <w:r w:rsidR="00DD3F47" w:rsidRPr="002009AD">
        <w:rPr>
          <w:rFonts w:ascii="Arial" w:hAnsi="Arial" w:cs="Arial"/>
          <w:b/>
          <w:sz w:val="28"/>
        </w:rPr>
        <w:t>Об утверждении Перечня процедур в сфере строительства объектов капитального строительства нежилого назначения</w:t>
      </w:r>
    </w:p>
    <w:p w:rsidR="00860E98" w:rsidRPr="002009AD" w:rsidRDefault="00860E98" w:rsidP="00860E98">
      <w:pPr>
        <w:rPr>
          <w:rFonts w:ascii="Arial" w:hAnsi="Arial" w:cs="Arial"/>
          <w:sz w:val="28"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В целях реализации части 2 статьи 6 Градостроительного кодекса Российской Федерации, части 3 постановления Правительства Российской Федерации от 28.03.2017 №346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Администрация Ивановского сельсовета Рыльского района постановляет: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1. Утвердить прилагаемый Перечень процедур в сфере строительства объектов капитального строительства нежилого назначения.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2. Постановление вступает в силу с 08</w:t>
      </w:r>
      <w:r w:rsidR="002009AD">
        <w:rPr>
          <w:rFonts w:ascii="Arial" w:hAnsi="Arial" w:cs="Arial"/>
        </w:rPr>
        <w:t xml:space="preserve"> </w:t>
      </w:r>
      <w:r w:rsidRPr="002009AD">
        <w:rPr>
          <w:rFonts w:ascii="Arial" w:hAnsi="Arial" w:cs="Arial"/>
        </w:rPr>
        <w:t>октября 2017 года.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Глава Ивановского сельсовета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Рыльского района                                                                Д.И. Великодный</w:t>
      </w:r>
    </w:p>
    <w:p w:rsidR="00DD3F47" w:rsidRPr="002009AD" w:rsidRDefault="00DD3F47" w:rsidP="00DD3F47">
      <w:pPr>
        <w:rPr>
          <w:rFonts w:ascii="Arial" w:hAnsi="Arial" w:cs="Arial"/>
        </w:rPr>
      </w:pPr>
      <w:r w:rsidRPr="002009AD">
        <w:rPr>
          <w:rFonts w:ascii="Arial" w:hAnsi="Arial" w:cs="Arial"/>
        </w:rPr>
        <w:br w:type="page"/>
      </w:r>
    </w:p>
    <w:p w:rsidR="00DD3F47" w:rsidRPr="002009AD" w:rsidRDefault="00DD3F47" w:rsidP="00DD3F47">
      <w:pPr>
        <w:ind w:firstLine="709"/>
        <w:jc w:val="right"/>
        <w:rPr>
          <w:rFonts w:ascii="Arial" w:hAnsi="Arial" w:cs="Arial"/>
        </w:rPr>
      </w:pPr>
      <w:r w:rsidRPr="002009AD">
        <w:rPr>
          <w:rFonts w:ascii="Arial" w:hAnsi="Arial" w:cs="Arial"/>
        </w:rPr>
        <w:lastRenderedPageBreak/>
        <w:t>Утвержден</w:t>
      </w:r>
    </w:p>
    <w:p w:rsidR="002009AD" w:rsidRDefault="002009AD" w:rsidP="00DD3F47">
      <w:pPr>
        <w:ind w:firstLine="709"/>
        <w:jc w:val="right"/>
        <w:rPr>
          <w:rFonts w:ascii="Arial" w:hAnsi="Arial" w:cs="Arial"/>
        </w:rPr>
      </w:pPr>
      <w:r w:rsidRPr="002009AD">
        <w:rPr>
          <w:rFonts w:ascii="Arial" w:hAnsi="Arial" w:cs="Arial"/>
        </w:rPr>
        <w:t>П</w:t>
      </w:r>
      <w:r w:rsidR="00DD3F47" w:rsidRPr="002009AD">
        <w:rPr>
          <w:rFonts w:ascii="Arial" w:hAnsi="Arial" w:cs="Arial"/>
        </w:rPr>
        <w:t>остановлением</w:t>
      </w:r>
      <w:r>
        <w:rPr>
          <w:rFonts w:ascii="Arial" w:hAnsi="Arial" w:cs="Arial"/>
        </w:rPr>
        <w:t xml:space="preserve"> </w:t>
      </w:r>
      <w:r w:rsidR="00DD3F47" w:rsidRPr="002009AD">
        <w:rPr>
          <w:rFonts w:ascii="Arial" w:hAnsi="Arial" w:cs="Arial"/>
        </w:rPr>
        <w:t xml:space="preserve">Администрации </w:t>
      </w:r>
    </w:p>
    <w:p w:rsidR="00DD3F47" w:rsidRPr="002009AD" w:rsidRDefault="00DD3F47" w:rsidP="00DD3F47">
      <w:pPr>
        <w:ind w:firstLine="709"/>
        <w:jc w:val="right"/>
        <w:rPr>
          <w:rFonts w:ascii="Arial" w:hAnsi="Arial" w:cs="Arial"/>
        </w:rPr>
      </w:pPr>
      <w:bookmarkStart w:id="0" w:name="_GoBack"/>
      <w:bookmarkEnd w:id="0"/>
      <w:r w:rsidRPr="002009AD">
        <w:rPr>
          <w:rFonts w:ascii="Arial" w:hAnsi="Arial" w:cs="Arial"/>
        </w:rPr>
        <w:t>Ивановского сельсовета Рыльского района</w:t>
      </w:r>
    </w:p>
    <w:p w:rsidR="00DD3F47" w:rsidRPr="002009AD" w:rsidRDefault="00DD3F47" w:rsidP="00DD3F47">
      <w:pPr>
        <w:ind w:firstLine="709"/>
        <w:jc w:val="right"/>
        <w:rPr>
          <w:rFonts w:ascii="Arial" w:hAnsi="Arial" w:cs="Arial"/>
        </w:rPr>
      </w:pPr>
      <w:r w:rsidRPr="002009AD">
        <w:rPr>
          <w:rFonts w:ascii="Arial" w:hAnsi="Arial" w:cs="Arial"/>
        </w:rPr>
        <w:t xml:space="preserve">от </w:t>
      </w:r>
      <w:r w:rsidR="002009AD">
        <w:rPr>
          <w:rFonts w:ascii="Arial" w:hAnsi="Arial" w:cs="Arial"/>
        </w:rPr>
        <w:t>15 сентября</w:t>
      </w:r>
      <w:r w:rsidRPr="002009AD">
        <w:rPr>
          <w:rFonts w:ascii="Arial" w:hAnsi="Arial" w:cs="Arial"/>
        </w:rPr>
        <w:t xml:space="preserve"> 2017 года</w:t>
      </w:r>
      <w:r w:rsidR="002009AD">
        <w:rPr>
          <w:rFonts w:ascii="Arial" w:hAnsi="Arial" w:cs="Arial"/>
        </w:rPr>
        <w:t xml:space="preserve"> №174</w:t>
      </w: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Перечень</w:t>
      </w: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процедур в сфере строительства объектов капитального строительства нежилого назначения</w:t>
      </w: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I. Процедуры, предусмотренные нормативными правовыми актами Российской Федерации</w:t>
      </w: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1. Процедуры, связанные с предоставлением прав на земельный участок и подготовкой документации по планировке территории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1. Организация и проведение аукциона на право заключить договор о развитии застроенной территории.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2. Заключение договора о развитии застроенной территории.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3. Принятие решения о подготовке документации по планировке территории.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4. Утверждение документации по планировке территории.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5. Заключение договора аренды земельного участка для комплексного освоения территории.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6. Заключение договора о комплексном освоении территории.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7. Предоставление межевого плана.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8. Принятие решения об утверждении схемы расположения земельного участка на кадастровом плане территории.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9. Постановка на государственный кадастровый учет объекта недвижимости - земельного участка.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10. Государственная регистрация права собственности на земельный участок или договора аренды земельного участка.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11. Предоставление разрешения на отклонение от предельных параметров разрешенного строительства.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12. Предоставление разрешения на условно разрешенный вид использования земельного участка.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13. Предоставление согласования проектирования и строительства объектов в пределах приаэродромной территории.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14. Предоставление согласования строительства и размещения объектов, высота которых свыше 50 метров, вне района аэродрома (вертодрома).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15. Предоставление градостроительного плана земельного участка.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16. Предоставление согласия на планируемое размещение объектов в границах полосы отвода автомобильной дороги.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17. Предоставление согласования размещения объектов в границах полосы отвода железных дорог.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18. Предоставление согласования строительства и размещения объектов в районе аэродрома (вертодрома).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2. Процедуры, связанные с предоставлением прав на лесной участок и его использованием для целей строительства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19. Утверждение проектной документации лесного участка.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lastRenderedPageBreak/>
        <w:t>20. Организация и проведение аукциона на право заключения договора аренды лесного участка.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21. Утверждение положительного заключения государственной или муниципальной экспертизы проекта освоения лесов.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22. Направление лесной декларации.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23. Направление отчета об использовании лесов.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24. Направление отчета об охране и защите лесов.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25. Направление отчета о воспроизводстве лесов и лесоразведении.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3. Процедуры, связанные с заключением договоров подключения (технологического присоединения) объектов капитального строительства нежилого назначения к сетям инженерно-технического обеспечения (к электрическим сетям), а также с архитектурно-строительным проектированием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26. Предоставление технических условий для подключения (технологического присоединения) к электрическим сетям.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27. Заключение договора об осуществлении технологического присоединения к объектам электросетевого хозяйства.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28. Предоставление технических условий подключения объекта капитального строительства к сети инженерно-технического обеспечения в сфере теплоснабжения.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29. Заключение договора о подключении (технологическом присоединении) к системе теплоснабжения.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30. Предоставление технических условий на проектирование узла учета тепловой энергии.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31. Предоставление технических условий на подключение (присоединение) к централизованным системам горячего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32. Заключение договора о подключении (технологическом присоединении) к централизованным системам горячего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33. Предоставление технических условий на подключение (технологическое присоединение) к централизованным системам холодного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34. Заключение договора о подключении (технологическом присоединении) к централизованной системе холодного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35. Предоставление технических условий на подключение (технологическое присоединение) к централизованным бытовым или общесплавным системам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36. Заключение договора о подключении (технологическом присоединении) к централизованным бытовым или общесплавным системам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37. Предоставление технических условий на подключение (технологическое присоединение) к централизованным ливневым системам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38. Заключение договора о подключении (технологическом присоединении) к централизованной ливневой системе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39. Предоставление технических условий на проектирование узла учета воды, сточных вод.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40. Предоставление технических условий на подключение (технологическое присоединение) к сетям газораспределения.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41. Заключение договора о подключении (технологическом присоединении) к сети газораспределения.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42. Предоставление технических условий по эффективному использованию газа.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43. Предоставление согласования отступления от технических условий на присоединение к газораспределительной системе.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44. Предоставление согласования отступления от технических условий по эффективному использованию газа.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lastRenderedPageBreak/>
        <w:t>45. Предоставление согласования специальных технических условий для подготовки проектной документации.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46. Предоставление согласования специальных технических условий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47. Предоставление согласования отступления от условий подключения к системе теплоснабжения.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48. Предоставление согласования проекта узла учета тепловой энергии.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49. Предоставление положительного заключения экспертизы результатов инженерных изысканий.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50. Предоставление положительного заключения экспертизы проектной документации.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51. Предоставление положительного заключения о достоверности определения сметной стоимости объекта капитального строительства.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52. Предоставление заключения историко-культурной экспертизы.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53. Регистрация проекта газоснабжения газораспределительной организацией.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54. Регистрация проекта газоснабжения органом государственного надзора.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4. Процедуры, связанные с осуществлением строительства, реконструкции объектов капитального строительства нежилого назначения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55. Предоставление разрешения на строительство.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56. Продление срока действия разрешения на строительство.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57. Внесение изменений в разрешение на строительство.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58. Передача материалов для размещения в информационной системе обеспечения градостроительной деятельности.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59. Представление проектной декларации в орган, осуществляющий государственную регистрацию прав на недвижимое имущество и сделок с ним.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60. Представление проектной декларации в контролирующий орган.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61. Проведение проверок соблюдения лицами, привлекающими денежные средства граждан для строительства, обязательных требований законодательства об участии в долевом строительстве многоквартирных домов и (или) иных объектов недвижимости.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62. Государственная регистрация договора участия в долевом строительстве.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63. Заключение договора об осуществлении временного технологического присоединения к электрическим сетям.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64. Заключение договора горячего водоснабжения строящегося (не введенного в эксплуатацию) объекта на период строительства.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65. Заключение договора холодного водоснабжения в отношении строящегося объекта на период строительства.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66. Заключение договора водоотведения в отношении строящегося объекта на период строительства.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67. Направление извещения о начале строительства, реконструкции объекта капитального строительства.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68. Направление извещения о возникновении аварийной ситуации на объекте капитального строительства.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69. Направление извещения об обнаружении объекта, обладающего признаками объекта культурного наследия.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70. Направление извещения о сроках завершения работ, которые подлежат проверке.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71. Проведение проверок в рамках осуществления государственного строительного надзора.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lastRenderedPageBreak/>
        <w:t>72. Предоставление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государственного строительного надзора.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73. Направление извещения об устранении нарушений.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74. Предоставление акта проверки объекта капитального строительства, строительство которого завершено, по результатам проведенной проверки при осуществлении государственного строительного надзора.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75. Предоставление санитарно-эпидемиологического заключения о соответствии проекта расчетной санитарно-защитной зоны для промышленных объектов и производств, отнесенных к I - III классам опасности, в том числе для промышленных объектов и производств, не включенных в санитарную классификацию, а также с новыми, недостаточно изученными технологиями, не имеющими аналогов в Российской Федерации и за рубежом, требованиям государственных санитарно-эпидемиологических правил и нормативов.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5. Процедуры, связанные с предоставлением разрешения на ввод объекта капитального строительства нежилого помещения в эксплуатацию, государственной регистрацией прав на построенный объект, заключением договоров энерго-, тепло-, водо-, газоснабжения и водоотведения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76. Предоставление акта допуска прибора учета электрической энергии в эксплуатацию.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77. Подписание акта о выполнении технических условий для присоединения к электрическим сетям.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78. Подписание акта осмотра (обследования) электроустановки.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79. Уведомление о готовности к вводу в эксплуатацию объектов.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80. Предоставление разрешения органа федерального государственного энергетического надзора на допуск в эксплуатацию энергопринимающих устройств.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81. Подписание акта разграничения балансовой принадлежности электрических сетей.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82. Подписание акта разграничения эксплуатационной ответственности сторон в отношении электрических сетей.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83. Подписание акта об осуществлении технологического присоединения к электрическим сетям.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84. Заключение договора энергоснабжения (купли-продажи (поставки) электрической энергии (мощности) и договора об оказании услуг по передаче электрической энергии.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85. Подписание акта ввода в эксплуатацию узла учета тепловой энергии.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86. Подписание акта о готовности внутриплощадочных и (или) внутридомовых сетей и оборудования подключаемого объекта к подаче тепловой энергии и теплоносителя.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87. Подписание акта разграничения балансовой принадлежности тепловых сетей.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88. Подписание акта разграничения эксплуатационной ответственности сторон в отношении тепловых сетей.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89. Подписание акта о подключении объекта капитального строительства к системе теплоснабжения.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90. Предоставление разрешения на осуществление подключения к системе теплоснабжения.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91. Заключение договора теплоснабжения.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92. Предоставление акта допуска узла учета воды и сточных вод к эксплуатации.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93. Подписание акта о технической готовности объектов централизованной системы горячего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lastRenderedPageBreak/>
        <w:t>94. Подписание акта разграничения балансовой принадлежности по объектам централизованной системы горячего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95. Подписание акта эксплуатационной ответственности по объектам централизованной системы горячего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96. Подписание акта о подключении (присоединении) объекта капитального строительства к централизованной системе горячего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97. Заключение договора горячего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98. Подписание акта о готовности внутриплощадочных и (или) внутридомовых сетей и оборудования к подключению (технологическому присоединению) к централизованной системе холодного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99. Подписание акта о разграничении балансовой принадлежности по объектам централизованных систем холодного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100. Подписание акта о разграничении эксплуатационной ответственности по объектам централизованных систем холодного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101. Подписание акта о подключении (технологическом присоединении) к централизованной системе холодного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102. Подписание акта о промывке и дезинфекции внутриплощадочных и внутридомовых сетей и оборудования объекта.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103. Заключение договора холодного водоснабжения.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104. Подписание акта о готовности внутриплощадочных и (или) внутридомовых сетей и оборудования объекта к подключению к централизованной системе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105. Подписание акта разграничения балансовой принадлежности по объектам централизованных систем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106. Подписание акта разграничения эксплуатационной ответственности по объектам централизованных систем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107. Подписание акта о подключении (технологическом присоединении) объекта к централизованной системе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108. Заключение договора водоотведения.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109. Подписание акта о готовности сетей газопотребления и газоиспользующего оборудования к подключению (технологическому присоединению).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110. Подписание акта разграничения имущественной принадлежности сетей газораспределения.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111. Подписание акта разграничения эксплуатационной ответственности сторон по объектам сети газораспределения.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112. Подписание акта о подключении (технологическом присоединении) к сети газораспределения.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113. Предоставление разрешения на пуск газа.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114. Предоставление акта обследования соответствия показателей энергоэффективности газоиспользующего оборудования паспортным или проектным показателям.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115. Подписание акта о приемке газового оборудования и средств автоматики для проведения пусконаладочных работ.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116. Подписание акта комиссии о приемке газоиспользующего оборудования для проведения пусконаладочных работ.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117. Заключение договора поставки газа.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118. Предоставление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119. Предоставление разрешения на ввод объекта в эксплуатацию.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lastRenderedPageBreak/>
        <w:t>120. Государственный кадастровый учет объекта недвижимости - здания, помещения.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121. Государственная регистрация права собственности на объект недвижимого имущества - здание, помещение.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122. Присвоение адреса объекту капитального строительства.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  <w:r w:rsidRPr="002009AD">
        <w:rPr>
          <w:rFonts w:ascii="Arial" w:hAnsi="Arial" w:cs="Arial"/>
          <w:b/>
        </w:rPr>
        <w:t>II. Процедуры, связанные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образований, предусмотренные нормативными правовыми актами субъектов Российской Федерации или муниципальными правовыми актами представительных органов местного самоуправления</w:t>
      </w:r>
    </w:p>
    <w:p w:rsidR="00DD3F47" w:rsidRPr="002009AD" w:rsidRDefault="00DD3F47" w:rsidP="00DD3F47">
      <w:pPr>
        <w:ind w:firstLine="709"/>
        <w:jc w:val="center"/>
        <w:rPr>
          <w:rFonts w:ascii="Arial" w:hAnsi="Arial" w:cs="Arial"/>
          <w:b/>
        </w:rPr>
      </w:pP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123. Предоставление решения о согласовании архитектурно-градостроительного облика объекта.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124. Предоставление порубочного билета и (или) разрешения на пересадку деревьев и кустарников.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125. Предоставление разрешения на осуществление земляных работ.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126. Согласование схемы движения транспорта и пешеходов на период проведения работ на проезжей части.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127. 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128. Предоставление заключения о соответствии проектной документации сводному плану подземных коммуникаций и сооружений.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129. Согласование проведения работ в технических и охранных зонах.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  <w:r w:rsidRPr="002009AD">
        <w:rPr>
          <w:rFonts w:ascii="Arial" w:hAnsi="Arial" w:cs="Arial"/>
        </w:rPr>
        <w:t>130. Выдача разрешения на перемещение отходов строительства, сноса зданий и сооружений, в том числе грунтов.</w:t>
      </w:r>
    </w:p>
    <w:p w:rsidR="00DD3F47" w:rsidRPr="002009AD" w:rsidRDefault="00DD3F47" w:rsidP="00DD3F47">
      <w:pPr>
        <w:ind w:firstLine="709"/>
        <w:jc w:val="both"/>
        <w:rPr>
          <w:rFonts w:ascii="Arial" w:hAnsi="Arial" w:cs="Arial"/>
        </w:rPr>
      </w:pPr>
    </w:p>
    <w:p w:rsidR="00CB3B36" w:rsidRPr="00E928E7" w:rsidRDefault="00CB3B36" w:rsidP="00DD3F47">
      <w:pPr>
        <w:ind w:firstLine="900"/>
        <w:jc w:val="both"/>
        <w:rPr>
          <w:b/>
          <w:bCs/>
        </w:rPr>
      </w:pPr>
    </w:p>
    <w:sectPr w:rsidR="00CB3B36" w:rsidRPr="00E928E7" w:rsidSect="00DD3F47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725" w:rsidRDefault="00881725" w:rsidP="00A42AB0">
      <w:r>
        <w:separator/>
      </w:r>
    </w:p>
  </w:endnote>
  <w:endnote w:type="continuationSeparator" w:id="0">
    <w:p w:rsidR="00881725" w:rsidRDefault="00881725" w:rsidP="00A4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725" w:rsidRDefault="00881725" w:rsidP="00A42AB0">
      <w:r>
        <w:separator/>
      </w:r>
    </w:p>
  </w:footnote>
  <w:footnote w:type="continuationSeparator" w:id="0">
    <w:p w:rsidR="00881725" w:rsidRDefault="00881725" w:rsidP="00A42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C5814"/>
    <w:multiLevelType w:val="hybridMultilevel"/>
    <w:tmpl w:val="3504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04B"/>
    <w:multiLevelType w:val="hybridMultilevel"/>
    <w:tmpl w:val="F9F85EE6"/>
    <w:lvl w:ilvl="0" w:tplc="3B349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02583B"/>
    <w:multiLevelType w:val="hybridMultilevel"/>
    <w:tmpl w:val="C0843B26"/>
    <w:lvl w:ilvl="0" w:tplc="88B2740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" w15:restartNumberingAfterBreak="0">
    <w:nsid w:val="68764FA2"/>
    <w:multiLevelType w:val="hybridMultilevel"/>
    <w:tmpl w:val="3504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98"/>
    <w:rsid w:val="000F7BB3"/>
    <w:rsid w:val="001E04BB"/>
    <w:rsid w:val="002009AD"/>
    <w:rsid w:val="00244DAF"/>
    <w:rsid w:val="00274FBE"/>
    <w:rsid w:val="002771C7"/>
    <w:rsid w:val="003240A1"/>
    <w:rsid w:val="005917E8"/>
    <w:rsid w:val="00653185"/>
    <w:rsid w:val="00653535"/>
    <w:rsid w:val="007969FD"/>
    <w:rsid w:val="00860E98"/>
    <w:rsid w:val="00881725"/>
    <w:rsid w:val="008F147C"/>
    <w:rsid w:val="00A42AB0"/>
    <w:rsid w:val="00B712C9"/>
    <w:rsid w:val="00C73540"/>
    <w:rsid w:val="00CB3B36"/>
    <w:rsid w:val="00CC6307"/>
    <w:rsid w:val="00CF24BA"/>
    <w:rsid w:val="00DD3F47"/>
    <w:rsid w:val="00E9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01EC"/>
  <w15:chartTrackingRefBased/>
  <w15:docId w15:val="{FD80E591-0BD0-4A26-B72E-7D5AE179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0E98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0E98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A42A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2A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2A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42A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2A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sid w:val="00CB3B36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3B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3B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3</cp:revision>
  <dcterms:created xsi:type="dcterms:W3CDTF">2018-03-26T07:03:00Z</dcterms:created>
  <dcterms:modified xsi:type="dcterms:W3CDTF">2018-03-26T07:04:00Z</dcterms:modified>
</cp:coreProperties>
</file>